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1FD6F" w14:textId="668C98D3" w:rsidR="001C04CA" w:rsidRDefault="00CD474B" w:rsidP="00280996">
      <w:pPr>
        <w:spacing w:line="240" w:lineRule="auto"/>
        <w:jc w:val="center"/>
      </w:pPr>
      <w:r>
        <w:t>2026 CHEME CUBE CHEMICAL SCREENING TOOL</w:t>
      </w:r>
    </w:p>
    <w:p w14:paraId="4BA16B0A" w14:textId="79BED843" w:rsidR="00CC0551" w:rsidRDefault="00CC0551" w:rsidP="00280996">
      <w:pPr>
        <w:spacing w:line="240" w:lineRule="auto"/>
      </w:pPr>
      <w:r>
        <w:t>University Name:</w:t>
      </w:r>
    </w:p>
    <w:p w14:paraId="5272613B" w14:textId="598482F9" w:rsidR="00CD474B" w:rsidRDefault="00CD474B" w:rsidP="00280996">
      <w:pPr>
        <w:spacing w:line="240" w:lineRule="auto"/>
      </w:pPr>
      <w:r>
        <w:t>Team Name:</w:t>
      </w:r>
    </w:p>
    <w:p w14:paraId="69D39A2F" w14:textId="22067400" w:rsidR="00CD474B" w:rsidRDefault="00CD474B" w:rsidP="00280996">
      <w:pPr>
        <w:spacing w:line="240" w:lineRule="auto"/>
      </w:pPr>
      <w:r>
        <w:t>Team Lead:</w:t>
      </w:r>
    </w:p>
    <w:p w14:paraId="581A33F5" w14:textId="297B7090" w:rsidR="00CD474B" w:rsidRDefault="00CD474B" w:rsidP="00280996">
      <w:pPr>
        <w:spacing w:line="240" w:lineRule="auto"/>
      </w:pPr>
      <w:r>
        <w:t>Team Advisor</w:t>
      </w:r>
      <w:r w:rsidR="00CC0551">
        <w:t>:</w:t>
      </w:r>
      <w:bookmarkStart w:id="0" w:name="_GoBack"/>
      <w:bookmarkEnd w:id="0"/>
    </w:p>
    <w:p w14:paraId="789EF90E" w14:textId="77777777" w:rsidR="00CD474B" w:rsidRDefault="00CD474B" w:rsidP="00280996">
      <w:pPr>
        <w:spacing w:line="240" w:lineRule="auto"/>
      </w:pPr>
    </w:p>
    <w:p w14:paraId="08662DD2" w14:textId="3832F814" w:rsidR="00CD474B" w:rsidRDefault="00CD474B" w:rsidP="00280996">
      <w:pPr>
        <w:spacing w:line="240" w:lineRule="auto"/>
      </w:pPr>
      <w:r>
        <w:t>Please indicate (in general) which type of process your team intends to use for</w:t>
      </w:r>
      <w:r w:rsidR="001C00DA">
        <w:t xml:space="preserve"> </w:t>
      </w:r>
      <w:r>
        <w:t>the 2026 Direct Air Capture of CO2 competition: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749"/>
        <w:gridCol w:w="5485"/>
      </w:tblGrid>
      <w:tr w:rsidR="00CD474B" w:rsidRPr="001C00DA" w14:paraId="1E6A55EF" w14:textId="77777777" w:rsidTr="00CD474B">
        <w:tc>
          <w:tcPr>
            <w:tcW w:w="3116" w:type="dxa"/>
          </w:tcPr>
          <w:p w14:paraId="47F972E9" w14:textId="79E3F6B8" w:rsidR="00CD474B" w:rsidRPr="001C00DA" w:rsidRDefault="00CD474B" w:rsidP="00280996">
            <w:pPr>
              <w:rPr>
                <w:b/>
                <w:bCs/>
              </w:rPr>
            </w:pPr>
            <w:r w:rsidRPr="001C00DA">
              <w:rPr>
                <w:b/>
                <w:bCs/>
              </w:rPr>
              <w:t>General Process</w:t>
            </w:r>
          </w:p>
        </w:tc>
        <w:tc>
          <w:tcPr>
            <w:tcW w:w="749" w:type="dxa"/>
          </w:tcPr>
          <w:p w14:paraId="47BA2677" w14:textId="6030A998" w:rsidR="00CD474B" w:rsidRPr="0032660B" w:rsidRDefault="00CD474B" w:rsidP="00280996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5485" w:type="dxa"/>
          </w:tcPr>
          <w:p w14:paraId="4B628A8E" w14:textId="22473F60" w:rsidR="00CD474B" w:rsidRPr="001C00DA" w:rsidRDefault="00CD474B" w:rsidP="00280996">
            <w:pPr>
              <w:rPr>
                <w:b/>
                <w:bCs/>
              </w:rPr>
            </w:pPr>
            <w:r w:rsidRPr="001C00DA">
              <w:rPr>
                <w:b/>
                <w:bCs/>
              </w:rPr>
              <w:t>Description</w:t>
            </w:r>
          </w:p>
        </w:tc>
      </w:tr>
      <w:tr w:rsidR="00CD474B" w14:paraId="778601D4" w14:textId="77777777" w:rsidTr="00CD474B">
        <w:tc>
          <w:tcPr>
            <w:tcW w:w="3116" w:type="dxa"/>
          </w:tcPr>
          <w:p w14:paraId="706F7E53" w14:textId="1630CD27" w:rsidR="00CD474B" w:rsidRDefault="00CD474B" w:rsidP="00280996">
            <w:r>
              <w:t>Electrochemical</w:t>
            </w:r>
          </w:p>
        </w:tc>
        <w:tc>
          <w:tcPr>
            <w:tcW w:w="749" w:type="dxa"/>
          </w:tcPr>
          <w:p w14:paraId="004E2174" w14:textId="77777777" w:rsidR="00CD474B" w:rsidRDefault="00CD474B" w:rsidP="00280996"/>
        </w:tc>
        <w:tc>
          <w:tcPr>
            <w:tcW w:w="5485" w:type="dxa"/>
          </w:tcPr>
          <w:p w14:paraId="506616D0" w14:textId="5F950192" w:rsidR="00CD474B" w:rsidRDefault="00CD474B" w:rsidP="00280996">
            <w:r>
              <w:t>Uses electrical fields/charges to separate CO2 from air</w:t>
            </w:r>
          </w:p>
        </w:tc>
      </w:tr>
      <w:tr w:rsidR="00CD474B" w14:paraId="44CF4CBB" w14:textId="77777777" w:rsidTr="00CD474B">
        <w:tc>
          <w:tcPr>
            <w:tcW w:w="3116" w:type="dxa"/>
          </w:tcPr>
          <w:p w14:paraId="6B010931" w14:textId="50D3EA0D" w:rsidR="00CD474B" w:rsidRDefault="00CD474B" w:rsidP="00280996">
            <w:r>
              <w:t>Mechanical Separation</w:t>
            </w:r>
          </w:p>
        </w:tc>
        <w:tc>
          <w:tcPr>
            <w:tcW w:w="749" w:type="dxa"/>
          </w:tcPr>
          <w:p w14:paraId="21CA7B4A" w14:textId="77777777" w:rsidR="00CD474B" w:rsidRDefault="00CD474B" w:rsidP="00280996"/>
        </w:tc>
        <w:tc>
          <w:tcPr>
            <w:tcW w:w="5485" w:type="dxa"/>
          </w:tcPr>
          <w:p w14:paraId="6FE87B4E" w14:textId="4D30FE33" w:rsidR="00CD474B" w:rsidRDefault="00CD474B" w:rsidP="00280996">
            <w:r>
              <w:t>Uses membrane/molecular sieves to mechanically filter CO2 from Air</w:t>
            </w:r>
          </w:p>
        </w:tc>
      </w:tr>
      <w:tr w:rsidR="00CD474B" w14:paraId="639EAABE" w14:textId="77777777" w:rsidTr="00CD474B">
        <w:tc>
          <w:tcPr>
            <w:tcW w:w="3116" w:type="dxa"/>
          </w:tcPr>
          <w:p w14:paraId="5FBF8344" w14:textId="61BB51BB" w:rsidR="00CD474B" w:rsidRDefault="00CD474B" w:rsidP="00280996">
            <w:r>
              <w:t>Dissolution</w:t>
            </w:r>
          </w:p>
        </w:tc>
        <w:tc>
          <w:tcPr>
            <w:tcW w:w="749" w:type="dxa"/>
          </w:tcPr>
          <w:p w14:paraId="511B9FAB" w14:textId="77777777" w:rsidR="00CD474B" w:rsidRDefault="00CD474B" w:rsidP="00280996"/>
        </w:tc>
        <w:tc>
          <w:tcPr>
            <w:tcW w:w="5485" w:type="dxa"/>
          </w:tcPr>
          <w:p w14:paraId="2BC94667" w14:textId="6C8B5D97" w:rsidR="00CD474B" w:rsidRDefault="00CD474B" w:rsidP="00280996">
            <w:r>
              <w:t>Process where CO2 dissolves into liquid solution</w:t>
            </w:r>
          </w:p>
        </w:tc>
      </w:tr>
      <w:tr w:rsidR="00CD474B" w14:paraId="18A84970" w14:textId="77777777" w:rsidTr="00CD474B">
        <w:tc>
          <w:tcPr>
            <w:tcW w:w="3116" w:type="dxa"/>
          </w:tcPr>
          <w:p w14:paraId="1A49084F" w14:textId="3F3E7F45" w:rsidR="00CD474B" w:rsidRDefault="00CD474B" w:rsidP="00280996">
            <w:r>
              <w:t>Adsorption/Absorption</w:t>
            </w:r>
          </w:p>
        </w:tc>
        <w:tc>
          <w:tcPr>
            <w:tcW w:w="749" w:type="dxa"/>
          </w:tcPr>
          <w:p w14:paraId="7ED09038" w14:textId="77777777" w:rsidR="00CD474B" w:rsidRDefault="00CD474B" w:rsidP="00280996"/>
        </w:tc>
        <w:tc>
          <w:tcPr>
            <w:tcW w:w="5485" w:type="dxa"/>
          </w:tcPr>
          <w:p w14:paraId="2239A629" w14:textId="4678D2B2" w:rsidR="00CD474B" w:rsidRDefault="00CD474B" w:rsidP="00280996">
            <w:r>
              <w:t>CO2 is captured by solid matrix either</w:t>
            </w:r>
          </w:p>
        </w:tc>
      </w:tr>
    </w:tbl>
    <w:p w14:paraId="17130DA0" w14:textId="77777777" w:rsidR="00CD474B" w:rsidRDefault="00CD474B" w:rsidP="00280996">
      <w:pPr>
        <w:spacing w:line="240" w:lineRule="auto"/>
      </w:pPr>
      <w:r>
        <w:t xml:space="preserve">Briefly </w:t>
      </w:r>
      <w:proofErr w:type="gramStart"/>
      <w:r>
        <w:t>Describe</w:t>
      </w:r>
      <w:proofErr w:type="gramEnd"/>
      <w:r>
        <w:t xml:space="preserve"> your proposed CO2 capture mechanism.  Include list of Chemicals/Reagents/Sorbents (etc.) required:</w:t>
      </w:r>
    </w:p>
    <w:p w14:paraId="5F94C3D2" w14:textId="18201A10" w:rsidR="00CD474B" w:rsidRDefault="00CD474B" w:rsidP="00280996">
      <w:pPr>
        <w:spacing w:line="240" w:lineRule="auto"/>
      </w:pPr>
      <w:r>
        <w:rPr>
          <w:noProof/>
        </w:rPr>
        <mc:AlternateContent>
          <mc:Choice Requires="wps">
            <w:drawing>
              <wp:inline distT="0" distB="0" distL="0" distR="0" wp14:anchorId="51543211" wp14:editId="72AF42FA">
                <wp:extent cx="5800725" cy="1190625"/>
                <wp:effectExtent l="0" t="0" r="28575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0FFB8" w14:textId="6AC29F04" w:rsidR="00CD474B" w:rsidRDefault="00CD474B">
                            <w:r>
                              <w:t>Description: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15432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6.75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">
                <v:textbox>
                  <w:txbxContent>
                    <w:p w14:paraId="1080FFB8" w14:textId="6AC29F04" w:rsidR="00CD474B" w:rsidRDefault="00CD474B">
                      <w:r>
                        <w:t>Description: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455"/>
      </w:tblGrid>
      <w:tr w:rsidR="00791990" w14:paraId="28A7D474" w14:textId="77777777" w:rsidTr="00791990">
        <w:trPr>
          <w:trHeight w:val="665"/>
        </w:trPr>
        <w:tc>
          <w:tcPr>
            <w:tcW w:w="895" w:type="dxa"/>
          </w:tcPr>
          <w:p w14:paraId="060BED57" w14:textId="1F14708F" w:rsidR="00791990" w:rsidRDefault="00791990" w:rsidP="00280996">
            <w:r>
              <w:t>Y/N</w:t>
            </w:r>
          </w:p>
        </w:tc>
        <w:tc>
          <w:tcPr>
            <w:tcW w:w="8455" w:type="dxa"/>
            <w:vMerge w:val="restart"/>
          </w:tcPr>
          <w:p w14:paraId="129CE91E" w14:textId="27B73A22" w:rsidR="00791990" w:rsidRPr="00791990" w:rsidRDefault="00C13518" w:rsidP="00280996">
            <w:pPr>
              <w:pStyle w:val="NormalWeb"/>
              <w:spacing w:before="0" w:beforeAutospacing="0" w:after="0" w:afterAutospacing="0"/>
              <w:jc w:val="both"/>
              <w:rPr>
                <w:rFonts w:ascii="Roboto" w:hAnsi="Roboto" w:cs="Times New Roman"/>
                <w:i/>
              </w:rPr>
            </w:pPr>
            <w:r>
              <w:rPr>
                <w:rFonts w:ascii="Roboto" w:hAnsi="Roboto" w:cs="Times New Roman"/>
              </w:rPr>
              <w:t xml:space="preserve">Please verify that team </w:t>
            </w:r>
            <w:r w:rsidRPr="0081692D">
              <w:rPr>
                <w:rFonts w:ascii="Roboto" w:hAnsi="Roboto" w:cs="Times New Roman"/>
                <w:color w:val="EE0000"/>
              </w:rPr>
              <w:t xml:space="preserve">DOES NOT </w:t>
            </w:r>
            <w:r w:rsidR="00791990">
              <w:rPr>
                <w:rFonts w:ascii="Roboto" w:hAnsi="Roboto" w:cs="Times New Roman"/>
              </w:rPr>
              <w:t>plan to use any</w:t>
            </w:r>
            <w:r w:rsidR="00791990" w:rsidRPr="001C44E2">
              <w:rPr>
                <w:rFonts w:ascii="Roboto" w:hAnsi="Roboto" w:cs="Times New Roman"/>
              </w:rPr>
              <w:t xml:space="preserve"> chemical, raw material, intermediate or product that is highly reactive or unstable. This includes chemicals with a GHS hazard category level 1 ranking in any of the following categories; pyrophoric solids and liquids, hazardous to the ozone layer</w:t>
            </w:r>
            <w:r w:rsidR="00791990">
              <w:rPr>
                <w:rFonts w:ascii="Roboto" w:hAnsi="Roboto" w:cs="Times New Roman"/>
              </w:rPr>
              <w:t xml:space="preserve"> and</w:t>
            </w:r>
            <w:r w:rsidR="00791990" w:rsidRPr="001C44E2">
              <w:rPr>
                <w:rFonts w:ascii="Roboto" w:hAnsi="Roboto" w:cs="Times New Roman"/>
              </w:rPr>
              <w:t xml:space="preserve"> any chemical on the extremely hazardous substances list published by EPA</w:t>
            </w:r>
            <w:r w:rsidR="00791990">
              <w:rPr>
                <w:rFonts w:ascii="Roboto" w:hAnsi="Roboto" w:cs="Times New Roman"/>
              </w:rPr>
              <w:t>.</w:t>
            </w:r>
          </w:p>
        </w:tc>
      </w:tr>
      <w:tr w:rsidR="00791990" w14:paraId="385D7528" w14:textId="77777777" w:rsidTr="00791990">
        <w:tc>
          <w:tcPr>
            <w:tcW w:w="895" w:type="dxa"/>
          </w:tcPr>
          <w:p w14:paraId="69D31001" w14:textId="77777777" w:rsidR="00791990" w:rsidRDefault="00791990" w:rsidP="00280996"/>
        </w:tc>
        <w:tc>
          <w:tcPr>
            <w:tcW w:w="8455" w:type="dxa"/>
            <w:vMerge/>
          </w:tcPr>
          <w:p w14:paraId="6119DDC3" w14:textId="77777777" w:rsidR="00791990" w:rsidRDefault="00791990" w:rsidP="00280996">
            <w:pPr>
              <w:pStyle w:val="NormalWeb"/>
              <w:spacing w:before="0" w:beforeAutospacing="0" w:after="0" w:afterAutospacing="0"/>
              <w:jc w:val="both"/>
              <w:rPr>
                <w:rFonts w:ascii="Roboto" w:hAnsi="Roboto" w:cs="Times New Roman"/>
              </w:rPr>
            </w:pPr>
          </w:p>
        </w:tc>
      </w:tr>
    </w:tbl>
    <w:p w14:paraId="5F0EB211" w14:textId="77777777" w:rsidR="00241A84" w:rsidRDefault="00241A84" w:rsidP="00280996">
      <w:pPr>
        <w:spacing w:line="240" w:lineRule="auto"/>
      </w:pPr>
    </w:p>
    <w:p w14:paraId="3E70588D" w14:textId="77777777" w:rsidR="00895EDF" w:rsidRPr="00895EDF" w:rsidRDefault="00895EDF" w:rsidP="00280996">
      <w:pPr>
        <w:spacing w:line="240" w:lineRule="auto"/>
        <w:rPr>
          <w:b/>
          <w:bCs/>
        </w:rPr>
      </w:pPr>
      <w:r w:rsidRPr="00895EDF">
        <w:rPr>
          <w:b/>
          <w:bCs/>
        </w:rPr>
        <w:t>Chemical Health and Handling Hazard Review</w:t>
      </w:r>
    </w:p>
    <w:p w14:paraId="14625815" w14:textId="2B8D29BA" w:rsidR="00151BD3" w:rsidRDefault="001C50F3" w:rsidP="00280996">
      <w:pPr>
        <w:spacing w:line="240" w:lineRule="auto"/>
      </w:pPr>
      <w:r>
        <w:t xml:space="preserve">Review SDS sheets for each chemical/material team proposes to use in the 2026 Competition.  </w:t>
      </w:r>
      <w:r w:rsidR="00D54242">
        <w:t xml:space="preserve">In boxes below (add more as needed) list chemical and insert </w:t>
      </w:r>
      <w:r w:rsidR="00C0668D">
        <w:t>a</w:t>
      </w:r>
      <w:r w:rsidR="00D54242">
        <w:t>n image of the SDS hazard classification</w:t>
      </w:r>
      <w:r w:rsidR="00BD569E">
        <w:t xml:space="preserve"> related to health</w:t>
      </w:r>
      <w:r w:rsidR="00151BD3">
        <w:t>,</w:t>
      </w:r>
      <w:r w:rsidR="00BD569E">
        <w:t xml:space="preserve"> toxicological or rep</w:t>
      </w:r>
      <w:r w:rsidR="00151BD3">
        <w:t>r</w:t>
      </w:r>
      <w:r w:rsidR="00BD569E">
        <w:t>oductive hazards</w:t>
      </w:r>
      <w:r w:rsidR="00151BD3">
        <w:t xml:space="preserve"> (see example).</w:t>
      </w:r>
    </w:p>
    <w:p w14:paraId="0CD35A85" w14:textId="09CE4DDD" w:rsidR="00151BD3" w:rsidRDefault="00151BD3" w:rsidP="00280996">
      <w:pPr>
        <w:spacing w:line="240" w:lineRule="auto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A8DC969" wp14:editId="05020E09">
                <wp:extent cx="5800725" cy="1924050"/>
                <wp:effectExtent l="0" t="0" r="28575" b="19050"/>
                <wp:docPr id="7479921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FADEC" w14:textId="6CF90639" w:rsidR="00151BD3" w:rsidRDefault="00151BD3" w:rsidP="00151BD3">
                            <w:r>
                              <w:t>Chemical 1: (</w:t>
                            </w:r>
                            <w:r w:rsidRPr="00054876">
                              <w:rPr>
                                <w:color w:val="EE0000"/>
                              </w:rPr>
                              <w:t>example</w:t>
                            </w:r>
                            <w:proofErr w:type="gramStart"/>
                            <w:r>
                              <w:t xml:space="preserve">)  </w:t>
                            </w:r>
                            <w:r w:rsidR="00674A1A">
                              <w:t>Ethan</w:t>
                            </w:r>
                            <w:r w:rsidR="00054876">
                              <w:t>olamine</w:t>
                            </w:r>
                            <w:proofErr w:type="gramEnd"/>
                            <w:r w:rsidR="00054876">
                              <w:t xml:space="preserve"> (type of MEA)</w:t>
                            </w:r>
                          </w:p>
                          <w:p w14:paraId="2D3C5220" w14:textId="5221D152" w:rsidR="00674A1A" w:rsidRDefault="00674A1A" w:rsidP="00151B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682827" wp14:editId="0B2801FF">
                                  <wp:extent cx="3605587" cy="1447800"/>
                                  <wp:effectExtent l="0" t="0" r="0" b="0"/>
                                  <wp:docPr id="2312444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124446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2932" cy="14507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8DC969" id="_x0000_s1027" type="#_x0000_t202" style="width:456.75pt;height:1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">
                <v:textbox>
                  <w:txbxContent>
                    <w:p w14:paraId="416FADEC" w14:textId="6CF90639" w:rsidR="00151BD3" w:rsidRDefault="00151BD3" w:rsidP="00151BD3">
                      <w:r>
                        <w:t>Chemical 1: (</w:t>
                      </w:r>
                      <w:r w:rsidRPr="00054876">
                        <w:rPr>
                          <w:color w:val="EE0000"/>
                        </w:rPr>
                        <w:t>example</w:t>
                      </w:r>
                      <w:r>
                        <w:t xml:space="preserve">)  </w:t>
                      </w:r>
                      <w:r w:rsidR="00674A1A">
                        <w:t>Ethan</w:t>
                      </w:r>
                      <w:r w:rsidR="00054876">
                        <w:t>olamine (type of MEA)</w:t>
                      </w:r>
                    </w:p>
                    <w:p w14:paraId="2D3C5220" w14:textId="5221D152" w:rsidR="00674A1A" w:rsidRDefault="00674A1A" w:rsidP="00151BD3">
                      <w:r>
                        <w:rPr>
                          <w:noProof/>
                        </w:rPr>
                        <w:drawing>
                          <wp:inline distT="0" distB="0" distL="0" distR="0" wp14:anchorId="76682827" wp14:editId="0B2801FF">
                            <wp:extent cx="3605587" cy="1447800"/>
                            <wp:effectExtent l="0" t="0" r="0" b="0"/>
                            <wp:docPr id="2312444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124446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2932" cy="14507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45379F" w14:textId="1FC2D3E0" w:rsidR="00151BD3" w:rsidRDefault="00151BD3" w:rsidP="00280996">
      <w:pPr>
        <w:spacing w:line="240" w:lineRule="auto"/>
      </w:pPr>
      <w:r>
        <w:t xml:space="preserve">In boxes below (add more as needed) list chemical and insert in image of the SDS handling requirements including </w:t>
      </w:r>
      <w:r w:rsidRPr="00054876">
        <w:rPr>
          <w:b/>
          <w:bCs/>
        </w:rPr>
        <w:t>incidental exposure</w:t>
      </w:r>
      <w:r>
        <w:t xml:space="preserve"> </w:t>
      </w:r>
      <w:r w:rsidR="00A0487C">
        <w:t xml:space="preserve">(if available) </w:t>
      </w:r>
      <w:r>
        <w:t xml:space="preserve">and </w:t>
      </w:r>
      <w:r w:rsidRPr="00054876">
        <w:rPr>
          <w:b/>
          <w:bCs/>
        </w:rPr>
        <w:t>respirator use</w:t>
      </w:r>
      <w:r>
        <w:t>.</w:t>
      </w:r>
    </w:p>
    <w:p w14:paraId="0EFD7767" w14:textId="113DF6B0" w:rsidR="00A0487C" w:rsidRDefault="00054876" w:rsidP="00280996">
      <w:pPr>
        <w:spacing w:line="240" w:lineRule="auto"/>
      </w:pPr>
      <w:r>
        <w:rPr>
          <w:noProof/>
        </w:rPr>
        <mc:AlternateContent>
          <mc:Choice Requires="wps">
            <w:drawing>
              <wp:inline distT="0" distB="0" distL="0" distR="0" wp14:anchorId="29D469CF" wp14:editId="61D2CECF">
                <wp:extent cx="5800725" cy="2057400"/>
                <wp:effectExtent l="0" t="0" r="28575" b="19050"/>
                <wp:docPr id="4024117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FD509" w14:textId="77777777" w:rsidR="00054876" w:rsidRDefault="00054876" w:rsidP="00054876">
                            <w:r>
                              <w:t>Chemical 1: (</w:t>
                            </w:r>
                            <w:r w:rsidRPr="00054876">
                              <w:rPr>
                                <w:color w:val="EE0000"/>
                              </w:rPr>
                              <w:t>example</w:t>
                            </w:r>
                            <w:proofErr w:type="gramStart"/>
                            <w:r>
                              <w:t>)  Ethanolamine</w:t>
                            </w:r>
                            <w:proofErr w:type="gramEnd"/>
                            <w:r>
                              <w:t xml:space="preserve"> (type of MEA)</w:t>
                            </w:r>
                          </w:p>
                          <w:p w14:paraId="242C783D" w14:textId="610F0266" w:rsidR="00054876" w:rsidRDefault="00126203" w:rsidP="000548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DBFE77" wp14:editId="62D9E8CE">
                                  <wp:extent cx="5608955" cy="1562100"/>
                                  <wp:effectExtent l="0" t="0" r="0" b="0"/>
                                  <wp:docPr id="159074344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0743448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08955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D469CF" id="_x0000_s1028" type="#_x0000_t202" style="width:456.75pt;height:16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">
                <v:textbox>
                  <w:txbxContent>
                    <w:p w14:paraId="34CFD509" w14:textId="77777777" w:rsidR="00054876" w:rsidRDefault="00054876" w:rsidP="00054876">
                      <w:r>
                        <w:t>Chemical 1: (</w:t>
                      </w:r>
                      <w:r w:rsidRPr="00054876">
                        <w:rPr>
                          <w:color w:val="EE0000"/>
                        </w:rPr>
                        <w:t>example</w:t>
                      </w:r>
                      <w:r>
                        <w:t>)  Ethanolamine (type of MEA)</w:t>
                      </w:r>
                    </w:p>
                    <w:p w14:paraId="242C783D" w14:textId="610F0266" w:rsidR="00054876" w:rsidRDefault="00126203" w:rsidP="00054876">
                      <w:r>
                        <w:rPr>
                          <w:noProof/>
                        </w:rPr>
                        <w:drawing>
                          <wp:inline distT="0" distB="0" distL="0" distR="0" wp14:anchorId="17DBFE77" wp14:editId="62D9E8CE">
                            <wp:extent cx="5608955" cy="1562100"/>
                            <wp:effectExtent l="0" t="0" r="0" b="0"/>
                            <wp:docPr id="159074344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90743448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08955" cy="1562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0C9614" w14:textId="3D1A41E7" w:rsidR="00A0487C" w:rsidRDefault="00734CD0" w:rsidP="00280996">
      <w:pPr>
        <w:spacing w:line="240" w:lineRule="auto"/>
      </w:pPr>
      <w:r>
        <w:t>C</w:t>
      </w:r>
      <w:r w:rsidR="00EF7312">
        <w:t>H</w:t>
      </w:r>
      <w:r>
        <w:t xml:space="preserve">EME Cube </w:t>
      </w:r>
      <w:r w:rsidR="00EF7312">
        <w:t>Chemical</w:t>
      </w:r>
      <w:r w:rsidR="00C141B2">
        <w:t xml:space="preserve"> Safety</w:t>
      </w:r>
      <w:r>
        <w:t xml:space="preserve"> </w:t>
      </w:r>
      <w:r w:rsidR="00585C88">
        <w:t>Guidelines</w:t>
      </w:r>
    </w:p>
    <w:p w14:paraId="7E7C0B92" w14:textId="6E1A5031" w:rsidR="00734CD0" w:rsidRDefault="00467F83" w:rsidP="00280996">
      <w:pPr>
        <w:pStyle w:val="ListParagraph"/>
        <w:numPr>
          <w:ilvl w:val="0"/>
          <w:numId w:val="2"/>
        </w:numPr>
        <w:spacing w:line="240" w:lineRule="auto"/>
      </w:pPr>
      <w:r>
        <w:t xml:space="preserve">Teams </w:t>
      </w:r>
      <w:r w:rsidRPr="00A052ED">
        <w:rPr>
          <w:color w:val="EE0000"/>
        </w:rPr>
        <w:t xml:space="preserve">may not DIRECTLY use </w:t>
      </w:r>
      <w:r>
        <w:t xml:space="preserve">any chemicals/materials with Class 1 Health-related ratings (like </w:t>
      </w:r>
      <w:r w:rsidR="00A052ED">
        <w:t xml:space="preserve">the </w:t>
      </w:r>
      <w:r>
        <w:t xml:space="preserve">MEA </w:t>
      </w:r>
      <w:r w:rsidR="00A052ED">
        <w:t xml:space="preserve">example, </w:t>
      </w:r>
      <w:r>
        <w:t xml:space="preserve">above).  </w:t>
      </w:r>
      <w:r w:rsidR="00B9141F">
        <w:t>Use of these materials is allowed if</w:t>
      </w:r>
      <w:r w:rsidR="000345E9">
        <w:t xml:space="preserve"> </w:t>
      </w:r>
      <w:r w:rsidR="000345E9" w:rsidRPr="007178EC">
        <w:rPr>
          <w:color w:val="EE0000"/>
        </w:rPr>
        <w:t xml:space="preserve">trace </w:t>
      </w:r>
      <w:r w:rsidR="000345E9">
        <w:t>quantities are</w:t>
      </w:r>
      <w:r w:rsidR="000345E9" w:rsidRPr="007178EC">
        <w:rPr>
          <w:color w:val="EE0000"/>
        </w:rPr>
        <w:t xml:space="preserve"> </w:t>
      </w:r>
      <w:r w:rsidR="007178EC" w:rsidRPr="007178EC">
        <w:rPr>
          <w:color w:val="EE0000"/>
        </w:rPr>
        <w:t>immobilized into a solid matrix</w:t>
      </w:r>
      <w:r w:rsidR="00CA4895">
        <w:rPr>
          <w:color w:val="EE0000"/>
        </w:rPr>
        <w:t xml:space="preserve">.  </w:t>
      </w:r>
      <w:r w:rsidR="007178EC" w:rsidRPr="007178EC">
        <w:t>For example</w:t>
      </w:r>
      <w:r w:rsidR="00CA4895">
        <w:t>,</w:t>
      </w:r>
      <w:r w:rsidR="007178EC" w:rsidRPr="007178EC">
        <w:t xml:space="preserve"> </w:t>
      </w:r>
      <w:r w:rsidR="007178EC">
        <w:t>creating a MEA coated</w:t>
      </w:r>
      <w:r w:rsidR="00EF7312">
        <w:t xml:space="preserve"> membrane or substrate.</w:t>
      </w:r>
      <w:r w:rsidR="007178EC" w:rsidRPr="007178EC">
        <w:t xml:space="preserve"> </w:t>
      </w:r>
    </w:p>
    <w:p w14:paraId="1FB56F65" w14:textId="45F98A7C" w:rsidR="00C141B2" w:rsidRDefault="005A0AEB" w:rsidP="00280996">
      <w:pPr>
        <w:pStyle w:val="ListParagraph"/>
        <w:numPr>
          <w:ilvl w:val="0"/>
          <w:numId w:val="2"/>
        </w:numPr>
        <w:spacing w:line="240" w:lineRule="auto"/>
      </w:pPr>
      <w:r>
        <w:t>Use of chemicals with restrictive handling requirements such as</w:t>
      </w:r>
      <w:r w:rsidR="00CA4895">
        <w:t>:</w:t>
      </w:r>
      <w:r>
        <w:t xml:space="preserve"> use</w:t>
      </w:r>
      <w:r w:rsidR="003A1914">
        <w:t xml:space="preserve"> under a chemical fume hood or use a respirator when handling </w:t>
      </w:r>
      <w:r w:rsidR="003A1914" w:rsidRPr="003A1914">
        <w:rPr>
          <w:color w:val="EE0000"/>
        </w:rPr>
        <w:t xml:space="preserve">is allowed </w:t>
      </w:r>
      <w:r w:rsidR="003A1914">
        <w:t>with the following caveats:</w:t>
      </w:r>
    </w:p>
    <w:p w14:paraId="0A37620E" w14:textId="618A2AF9" w:rsidR="003A1914" w:rsidRDefault="003A1914" w:rsidP="00280996">
      <w:pPr>
        <w:pStyle w:val="ListParagraph"/>
        <w:numPr>
          <w:ilvl w:val="1"/>
          <w:numId w:val="2"/>
        </w:numPr>
        <w:spacing w:line="240" w:lineRule="auto"/>
      </w:pPr>
      <w:r>
        <w:t>Direct handling</w:t>
      </w:r>
      <w:r w:rsidR="00F54A26">
        <w:t>/</w:t>
      </w:r>
      <w:r>
        <w:t>use at the Chemical</w:t>
      </w:r>
      <w:r w:rsidR="00F54A26">
        <w:t xml:space="preserve"> is </w:t>
      </w:r>
      <w:r w:rsidR="00F54A26" w:rsidRPr="00F54A26">
        <w:rPr>
          <w:color w:val="EE0000"/>
        </w:rPr>
        <w:t xml:space="preserve">not allowed </w:t>
      </w:r>
      <w:r w:rsidR="00F54A26">
        <w:t>at the Competition Site</w:t>
      </w:r>
    </w:p>
    <w:p w14:paraId="5B15F0C3" w14:textId="3AD29465" w:rsidR="00F54A26" w:rsidRDefault="00F54A26" w:rsidP="00280996">
      <w:pPr>
        <w:pStyle w:val="ListParagraph"/>
        <w:numPr>
          <w:ilvl w:val="1"/>
          <w:numId w:val="2"/>
        </w:numPr>
        <w:spacing w:line="240" w:lineRule="auto"/>
      </w:pPr>
      <w:r>
        <w:t>Materials need to b</w:t>
      </w:r>
      <w:r w:rsidR="00B25EF4">
        <w:t>e fully enclosed in sealable vessels</w:t>
      </w:r>
      <w:r w:rsidR="00416C43">
        <w:t xml:space="preserve"> that are installed </w:t>
      </w:r>
      <w:r w:rsidR="000E74CC">
        <w:t>into the Team’s cube just prior to competition.</w:t>
      </w:r>
      <w:r w:rsidR="00BF3030">
        <w:t xml:space="preserve">  In this configuration, the weight of the vessel is included in the reagent weight calculation</w:t>
      </w:r>
      <w:r w:rsidR="00D04D4C">
        <w:t xml:space="preserve"> scoring parameters.</w:t>
      </w:r>
    </w:p>
    <w:p w14:paraId="2C9626DE" w14:textId="47D11EF3" w:rsidR="00D04D4C" w:rsidRDefault="00D04D4C" w:rsidP="00280996">
      <w:pPr>
        <w:pStyle w:val="ListParagraph"/>
        <w:numPr>
          <w:ilvl w:val="1"/>
          <w:numId w:val="2"/>
        </w:numPr>
        <w:spacing w:line="240" w:lineRule="auto"/>
      </w:pPr>
      <w:r>
        <w:t xml:space="preserve">The sealable vessel should have sufficient guards (screens, filter mesh </w:t>
      </w:r>
      <w:proofErr w:type="spellStart"/>
      <w:r>
        <w:t>etc</w:t>
      </w:r>
      <w:proofErr w:type="spellEnd"/>
      <w:r>
        <w:t>) to prevent release of the material during handling</w:t>
      </w:r>
      <w:r w:rsidR="00F96538">
        <w:t xml:space="preserve">, </w:t>
      </w:r>
      <w:r w:rsidR="006836FB">
        <w:t>cube operation,</w:t>
      </w:r>
      <w:r w:rsidR="004C30C9">
        <w:t xml:space="preserve"> </w:t>
      </w:r>
      <w:r w:rsidR="00F96538">
        <w:t>installation into and removal from the Cube.</w:t>
      </w:r>
    </w:p>
    <w:p w14:paraId="1B665D3D" w14:textId="7EC0F099" w:rsidR="00F96538" w:rsidRDefault="00F96538" w:rsidP="00280996">
      <w:pPr>
        <w:pStyle w:val="ListParagraph"/>
        <w:numPr>
          <w:ilvl w:val="1"/>
          <w:numId w:val="2"/>
        </w:numPr>
        <w:spacing w:line="240" w:lineRule="auto"/>
      </w:pPr>
      <w:r>
        <w:t xml:space="preserve">The Vessel may not be ‘recharged’ at the competition site, rather </w:t>
      </w:r>
      <w:r w:rsidR="00130797">
        <w:t>the team should provide additional sealed, full vessels as needed for additional runs.</w:t>
      </w:r>
    </w:p>
    <w:p w14:paraId="79B5EA09" w14:textId="3C9D332F" w:rsidR="004007CB" w:rsidRDefault="009D4001" w:rsidP="00280996">
      <w:pPr>
        <w:pStyle w:val="ListParagraph"/>
        <w:numPr>
          <w:ilvl w:val="0"/>
          <w:numId w:val="2"/>
        </w:numPr>
        <w:spacing w:line="240" w:lineRule="auto"/>
      </w:pPr>
      <w:r>
        <w:lastRenderedPageBreak/>
        <w:t>Teams are responsible for shipping the sealed vessel to the host university</w:t>
      </w:r>
      <w:r w:rsidR="006B38C4">
        <w:t xml:space="preserve"> </w:t>
      </w:r>
      <w:r w:rsidR="004007CB">
        <w:t xml:space="preserve">in compliance with </w:t>
      </w:r>
      <w:r w:rsidR="006B38C4">
        <w:t xml:space="preserve">DOT hazard shipping </w:t>
      </w:r>
      <w:r w:rsidR="004007CB">
        <w:t>regulations.</w:t>
      </w:r>
    </w:p>
    <w:p w14:paraId="52438314" w14:textId="5ECD0140" w:rsidR="00130797" w:rsidRDefault="00130797" w:rsidP="00280996">
      <w:pPr>
        <w:pStyle w:val="ListParagraph"/>
        <w:numPr>
          <w:ilvl w:val="1"/>
          <w:numId w:val="2"/>
        </w:numPr>
        <w:spacing w:line="240" w:lineRule="auto"/>
      </w:pPr>
      <w:r>
        <w:t xml:space="preserve">Following the competition, the vessels will be resealed and disposed of as chemical waste or </w:t>
      </w:r>
    </w:p>
    <w:p w14:paraId="600FD621" w14:textId="58A8E28A" w:rsidR="004007CB" w:rsidRDefault="003A65C7" w:rsidP="00280996">
      <w:pPr>
        <w:pStyle w:val="ListParagraph"/>
        <w:numPr>
          <w:ilvl w:val="1"/>
          <w:numId w:val="2"/>
        </w:numPr>
        <w:spacing w:line="240" w:lineRule="auto"/>
      </w:pPr>
      <w:r>
        <w:t>If material is non</w:t>
      </w:r>
      <w:r w:rsidR="00264272">
        <w:t>-hazardous, s</w:t>
      </w:r>
      <w:r w:rsidR="004007CB">
        <w:t xml:space="preserve">hipped back to </w:t>
      </w:r>
      <w:r>
        <w:t>the team’s university</w:t>
      </w:r>
      <w:r w:rsidR="00264272">
        <w:t xml:space="preserve"> using return shipping containers/labels provided by team</w:t>
      </w:r>
    </w:p>
    <w:sectPr w:rsidR="004007CB" w:rsidSect="00D51D1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11A7"/>
    <w:multiLevelType w:val="hybridMultilevel"/>
    <w:tmpl w:val="B8F2B7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74FE3"/>
    <w:multiLevelType w:val="multilevel"/>
    <w:tmpl w:val="0B90E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5221CDD"/>
    <w:multiLevelType w:val="hybridMultilevel"/>
    <w:tmpl w:val="B9CC7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4B"/>
    <w:rsid w:val="00006C2D"/>
    <w:rsid w:val="000345E9"/>
    <w:rsid w:val="00054876"/>
    <w:rsid w:val="000E74CC"/>
    <w:rsid w:val="00126203"/>
    <w:rsid w:val="00130797"/>
    <w:rsid w:val="00151BD3"/>
    <w:rsid w:val="001C00DA"/>
    <w:rsid w:val="001C04CA"/>
    <w:rsid w:val="001C50F3"/>
    <w:rsid w:val="00241A84"/>
    <w:rsid w:val="00264272"/>
    <w:rsid w:val="00280996"/>
    <w:rsid w:val="00296B43"/>
    <w:rsid w:val="002D54E6"/>
    <w:rsid w:val="0032660B"/>
    <w:rsid w:val="003A1914"/>
    <w:rsid w:val="003A65C7"/>
    <w:rsid w:val="004007CB"/>
    <w:rsid w:val="00416C43"/>
    <w:rsid w:val="00467F83"/>
    <w:rsid w:val="004C30C9"/>
    <w:rsid w:val="00585C88"/>
    <w:rsid w:val="005A0AEB"/>
    <w:rsid w:val="005E74C2"/>
    <w:rsid w:val="006633DE"/>
    <w:rsid w:val="00674A1A"/>
    <w:rsid w:val="006836FB"/>
    <w:rsid w:val="006B38C4"/>
    <w:rsid w:val="006D5E91"/>
    <w:rsid w:val="007178EC"/>
    <w:rsid w:val="00734CD0"/>
    <w:rsid w:val="00766749"/>
    <w:rsid w:val="00791990"/>
    <w:rsid w:val="007D23FF"/>
    <w:rsid w:val="0081692D"/>
    <w:rsid w:val="00895EDF"/>
    <w:rsid w:val="009311A6"/>
    <w:rsid w:val="009531DC"/>
    <w:rsid w:val="009D4001"/>
    <w:rsid w:val="00A0487C"/>
    <w:rsid w:val="00A052ED"/>
    <w:rsid w:val="00B25EF4"/>
    <w:rsid w:val="00B84E40"/>
    <w:rsid w:val="00B9141F"/>
    <w:rsid w:val="00BC262C"/>
    <w:rsid w:val="00BD569E"/>
    <w:rsid w:val="00BF3030"/>
    <w:rsid w:val="00C0668D"/>
    <w:rsid w:val="00C13518"/>
    <w:rsid w:val="00C141B2"/>
    <w:rsid w:val="00CA4895"/>
    <w:rsid w:val="00CC0551"/>
    <w:rsid w:val="00CD474B"/>
    <w:rsid w:val="00D04D4C"/>
    <w:rsid w:val="00D16DE2"/>
    <w:rsid w:val="00D51D19"/>
    <w:rsid w:val="00D54242"/>
    <w:rsid w:val="00EF7312"/>
    <w:rsid w:val="00F17828"/>
    <w:rsid w:val="00F54A26"/>
    <w:rsid w:val="00F9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58AC5"/>
  <w15:chartTrackingRefBased/>
  <w15:docId w15:val="{17E4A0C8-218A-4E63-97CC-03D0728F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7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7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7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7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7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7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7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7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7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7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9199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D81614CA6A14C9C82D5959144F5AD" ma:contentTypeVersion="17" ma:contentTypeDescription="Create a new document." ma:contentTypeScope="" ma:versionID="7d4a3275f77ae28b67825947c0971a13">
  <xsd:schema xmlns:xsd="http://www.w3.org/2001/XMLSchema" xmlns:xs="http://www.w3.org/2001/XMLSchema" xmlns:p="http://schemas.microsoft.com/office/2006/metadata/properties" xmlns:ns2="4275d3e5-9be4-4099-8986-ac121315b92a" xmlns:ns3="69de1ef5-4f8c-4227-962e-e91527cc059d" targetNamespace="http://schemas.microsoft.com/office/2006/metadata/properties" ma:root="true" ma:fieldsID="9b4b090171bf68b442b7d10efbe212ac" ns2:_="" ns3:_="">
    <xsd:import namespace="4275d3e5-9be4-4099-8986-ac121315b92a"/>
    <xsd:import namespace="69de1ef5-4f8c-4227-962e-e91527cc0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5d3e5-9be4-4099-8986-ac121315b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9a1b19-1138-4e88-b022-df7d4328ac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e1ef5-4f8c-4227-962e-e91527cc0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686864-a976-4c62-9222-4d88c29fbea5}" ma:internalName="TaxCatchAll" ma:showField="CatchAllData" ma:web="69de1ef5-4f8c-4227-962e-e91527cc0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75d3e5-9be4-4099-8986-ac121315b92a">
      <Terms xmlns="http://schemas.microsoft.com/office/infopath/2007/PartnerControls"/>
    </lcf76f155ced4ddcb4097134ff3c332f>
    <TaxCatchAll xmlns="69de1ef5-4f8c-4227-962e-e91527cc05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457B4-DD6B-4053-AB37-B7429AF02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5d3e5-9be4-4099-8986-ac121315b92a"/>
    <ds:schemaRef ds:uri="69de1ef5-4f8c-4227-962e-e91527cc0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98E77E-0AD1-491E-891B-562172CEBE23}">
  <ds:schemaRefs>
    <ds:schemaRef ds:uri="http://schemas.microsoft.com/office/2006/metadata/properties"/>
    <ds:schemaRef ds:uri="http://schemas.microsoft.com/office/infopath/2007/PartnerControls"/>
    <ds:schemaRef ds:uri="4275d3e5-9be4-4099-8986-ac121315b92a"/>
    <ds:schemaRef ds:uri="69de1ef5-4f8c-4227-962e-e91527cc059d"/>
  </ds:schemaRefs>
</ds:datastoreItem>
</file>

<file path=customXml/itemProps3.xml><?xml version="1.0" encoding="utf-8"?>
<ds:datastoreItem xmlns:ds="http://schemas.openxmlformats.org/officeDocument/2006/customXml" ds:itemID="{FDECDCBC-9413-4335-BFB1-F38610A6C0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FA295C-2A4D-47AE-94C7-AFCDF2C8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Ogden, Gregory E - (gogden)</dc:creator>
  <cp:keywords/>
  <dc:description/>
  <cp:lastModifiedBy>Mahir Alam</cp:lastModifiedBy>
  <cp:revision>47</cp:revision>
  <dcterms:created xsi:type="dcterms:W3CDTF">2026-01-28T17:22:00Z</dcterms:created>
  <dcterms:modified xsi:type="dcterms:W3CDTF">2026-03-10T19:23:00Z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0x010100654D81614CA6A14C9C82D5959144F5AD</vt:lpwstr>
  </property>
</Properties>
</file>